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01096D0E"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502C7B">
        <w:rPr>
          <w:rFonts w:ascii="Times New Roman" w:eastAsia="Times New Roman" w:hAnsi="Times New Roman" w:cs="Times New Roman"/>
          <w:sz w:val="24"/>
          <w:szCs w:val="24"/>
          <w:lang w:eastAsia="en-GB"/>
        </w:rPr>
        <w:t xml:space="preserve"> 160/47685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502C7B">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1BC06098" w14:textId="77777777" w:rsidR="00A96F20" w:rsidRPr="00AC3AB6" w:rsidRDefault="00A96F20" w:rsidP="00A96F2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E467405" w14:textId="77777777" w:rsidR="00A96F20" w:rsidRPr="00AC3AB6" w:rsidRDefault="00A96F20" w:rsidP="00A96F2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ISCONPRO SRL</w:t>
      </w:r>
      <w:bookmarkEnd w:id="1"/>
      <w:r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sz w:val="24"/>
          <w:szCs w:val="24"/>
          <w:lang w:eastAsia="en-GB"/>
        </w:rPr>
        <w:t>Municipiul Iasi, Aleea Tudor Neculai, nr. 92 A, camera 1, jud. Iasi,</w:t>
      </w:r>
      <w:r w:rsidRPr="00AC3AB6">
        <w:rPr>
          <w:rFonts w:ascii="Times New Roman" w:eastAsia="Times New Roman" w:hAnsi="Times New Roman" w:cs="Times New Roman"/>
          <w:sz w:val="24"/>
          <w:szCs w:val="24"/>
          <w:lang w:eastAsia="en-GB"/>
        </w:rPr>
        <w:t xml:space="preserve"> telefon: </w:t>
      </w:r>
      <w:r>
        <w:rPr>
          <w:rFonts w:ascii="Times New Roman" w:eastAsia="Times New Roman" w:hAnsi="Times New Roman" w:cs="Times New Roman"/>
          <w:b/>
          <w:bCs/>
          <w:sz w:val="24"/>
          <w:szCs w:val="24"/>
          <w:lang w:eastAsia="en-GB"/>
        </w:rPr>
        <w:t>0756062454,</w:t>
      </w:r>
      <w:r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J22/432/2018</w:t>
      </w:r>
      <w:r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 38910879</w:t>
      </w:r>
      <w:r w:rsidRPr="00AC3AB6">
        <w:rPr>
          <w:rFonts w:ascii="Times New Roman" w:eastAsia="Times New Roman" w:hAnsi="Times New Roman" w:cs="Times New Roman"/>
          <w:sz w:val="24"/>
          <w:szCs w:val="24"/>
          <w:lang w:eastAsia="en-GB"/>
        </w:rPr>
        <w:t>, cont IBAN nr.</w:t>
      </w:r>
      <w:r>
        <w:rPr>
          <w:rFonts w:ascii="Times New Roman" w:eastAsia="Times New Roman" w:hAnsi="Times New Roman" w:cs="Times New Roman"/>
          <w:sz w:val="24"/>
          <w:szCs w:val="24"/>
          <w:lang w:eastAsia="en-GB"/>
        </w:rPr>
        <w:t xml:space="preserve"> </w:t>
      </w:r>
      <w:r w:rsidRPr="00BC28EF">
        <w:rPr>
          <w:rFonts w:ascii="Times New Roman" w:eastAsia="Times New Roman" w:hAnsi="Times New Roman" w:cs="Times New Roman"/>
          <w:sz w:val="24"/>
          <w:szCs w:val="24"/>
          <w:lang w:eastAsia="en-GB"/>
        </w:rPr>
        <w:t>RO49TREZ4065069XXX025174</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deschis la </w:t>
      </w:r>
      <w:r>
        <w:rPr>
          <w:rFonts w:ascii="Times New Roman" w:eastAsia="Times New Roman" w:hAnsi="Times New Roman" w:cs="Times New Roman"/>
          <w:sz w:val="24"/>
          <w:szCs w:val="24"/>
          <w:lang w:eastAsia="en-GB"/>
        </w:rPr>
        <w:t>Trezoreria mun. Iasi</w:t>
      </w:r>
      <w:r w:rsidRPr="00AC3AB6">
        <w:rPr>
          <w:rFonts w:ascii="Times New Roman" w:eastAsia="Times New Roman" w:hAnsi="Times New Roman" w:cs="Times New Roman"/>
          <w:sz w:val="24"/>
          <w:szCs w:val="24"/>
          <w:lang w:eastAsia="en-GB"/>
        </w:rPr>
        <w:t xml:space="preserve"> reprezentată prin </w:t>
      </w:r>
      <w:bookmarkStart w:id="2" w:name="_Hlk139523210"/>
      <w:r>
        <w:rPr>
          <w:rFonts w:ascii="Times New Roman" w:eastAsia="Times New Roman" w:hAnsi="Times New Roman" w:cs="Times New Roman"/>
          <w:b/>
          <w:bCs/>
          <w:sz w:val="24"/>
          <w:szCs w:val="24"/>
          <w:lang w:eastAsia="en-GB"/>
        </w:rPr>
        <w:t>Iulian Pricop</w:t>
      </w:r>
      <w:bookmarkEnd w:id="2"/>
      <w:r w:rsidRPr="00AC3AB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administrator</w:t>
      </w:r>
      <w:r w:rsidRPr="00AC3AB6">
        <w:rPr>
          <w:rFonts w:ascii="Times New Roman" w:eastAsia="Times New Roman" w:hAnsi="Times New Roman" w:cs="Times New Roman"/>
          <w:sz w:val="24"/>
          <w:szCs w:val="24"/>
          <w:lang w:eastAsia="en-GB"/>
        </w:rPr>
        <w:t>, în calitate de și denumită în continuare „</w:t>
      </w:r>
      <w:r w:rsidRPr="00AC3AB6">
        <w:rPr>
          <w:rFonts w:ascii="Times New Roman" w:eastAsia="Times New Roman" w:hAnsi="Times New Roman" w:cs="Times New Roman"/>
          <w:b/>
          <w:bCs/>
          <w:sz w:val="24"/>
          <w:szCs w:val="24"/>
          <w:lang w:eastAsia="en-GB"/>
        </w:rPr>
        <w:t>Contractant</w:t>
      </w:r>
      <w:r w:rsidRPr="00AC3AB6">
        <w:rPr>
          <w:rFonts w:ascii="Times New Roman" w:eastAsia="Times New Roman" w:hAnsi="Times New Roman" w:cs="Times New Roman"/>
          <w:sz w:val="24"/>
          <w:szCs w:val="24"/>
          <w:lang w:eastAsia="en-GB"/>
        </w:rPr>
        <w:t xml:space="preserve">”, pe de altă parte, </w:t>
      </w: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3DB134D4"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A96F20">
        <w:rPr>
          <w:rFonts w:ascii="Times New Roman" w:eastAsia="Times New Roman" w:hAnsi="Times New Roman" w:cs="Times New Roman"/>
          <w:b/>
          <w:bCs/>
          <w:sz w:val="24"/>
          <w:szCs w:val="24"/>
          <w:lang w:eastAsia="en-GB"/>
        </w:rPr>
        <w:t>X</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FE621C">
        <w:rPr>
          <w:rFonts w:ascii="Times New Roman" w:eastAsia="Times New Roman" w:hAnsi="Times New Roman" w:cs="Times New Roman"/>
          <w:b/>
          <w:bCs/>
          <w:sz w:val="24"/>
          <w:szCs w:val="24"/>
          <w:lang w:eastAsia="en-GB"/>
        </w:rPr>
        <w:t xml:space="preserve"> </w:t>
      </w:r>
      <w:r w:rsidR="005F6EEB">
        <w:rPr>
          <w:rFonts w:ascii="Times New Roman" w:eastAsia="Times New Roman" w:hAnsi="Times New Roman" w:cs="Times New Roman"/>
          <w:b/>
          <w:bCs/>
          <w:sz w:val="24"/>
          <w:szCs w:val="24"/>
          <w:lang w:eastAsia="en-GB"/>
        </w:rPr>
        <w:t>2</w:t>
      </w:r>
      <w:r w:rsidR="00927FF0">
        <w:rPr>
          <w:rFonts w:ascii="Times New Roman" w:eastAsia="Times New Roman" w:hAnsi="Times New Roman" w:cs="Times New Roman"/>
          <w:b/>
          <w:bCs/>
          <w:sz w:val="24"/>
          <w:szCs w:val="24"/>
          <w:lang w:eastAsia="en-GB"/>
        </w:rPr>
        <w:t>4</w:t>
      </w:r>
      <w:r w:rsidR="00FE621C">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FE621C">
        <w:rPr>
          <w:rFonts w:ascii="Times New Roman" w:eastAsia="Times New Roman" w:hAnsi="Times New Roman" w:cs="Times New Roman"/>
          <w:b/>
          <w:bCs/>
          <w:sz w:val="24"/>
          <w:szCs w:val="24"/>
          <w:lang w:eastAsia="en-GB"/>
        </w:rPr>
        <w:t>8 Martie</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lastRenderedPageBreak/>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33CC7DBF"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7415F5" w:rsidRPr="007415F5">
        <w:rPr>
          <w:rFonts w:ascii="Times New Roman" w:hAnsi="Times New Roman" w:cs="Times New Roman"/>
          <w:b/>
          <w:bCs/>
          <w:sz w:val="24"/>
          <w:szCs w:val="24"/>
          <w:lang w:eastAsia="en-GB"/>
        </w:rPr>
        <w:t>56.950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7415F5">
        <w:rPr>
          <w:rFonts w:ascii="Times New Roman" w:hAnsi="Times New Roman" w:cs="Times New Roman"/>
          <w:b/>
          <w:bCs/>
          <w:sz w:val="24"/>
          <w:szCs w:val="24"/>
          <w:lang w:eastAsia="en-GB"/>
        </w:rPr>
        <w:t>10.820,5</w:t>
      </w:r>
      <w:r w:rsidR="00837C6B">
        <w:rPr>
          <w:rFonts w:ascii="Times New Roman" w:hAnsi="Times New Roman" w:cs="Times New Roman"/>
          <w:b/>
          <w:bCs/>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64EEB579" w14:textId="72CAA18C" w:rsidR="00927FF0" w:rsidRPr="00AC3AB6" w:rsidRDefault="00927FF0" w:rsidP="00927FF0">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 xml:space="preserve">1. Faza I </w:t>
      </w:r>
      <w:r w:rsidRPr="00AC3AB6">
        <w:rPr>
          <w:rFonts w:ascii="Times New Roman" w:hAnsi="Times New Roman" w:cs="Times New Roman"/>
          <w:sz w:val="24"/>
          <w:szCs w:val="24"/>
          <w:lang w:eastAsia="ro-RO"/>
        </w:rPr>
        <w:t>in suma totala de</w:t>
      </w:r>
      <w:r>
        <w:rPr>
          <w:rFonts w:ascii="Times New Roman" w:hAnsi="Times New Roman" w:cs="Times New Roman"/>
          <w:sz w:val="24"/>
          <w:szCs w:val="24"/>
          <w:lang w:eastAsia="ro-RO"/>
        </w:rPr>
        <w:t xml:space="preserve"> </w:t>
      </w:r>
      <w:r>
        <w:rPr>
          <w:rFonts w:ascii="Times New Roman" w:hAnsi="Times New Roman" w:cs="Times New Roman"/>
          <w:b/>
          <w:bCs/>
          <w:sz w:val="24"/>
          <w:szCs w:val="24"/>
          <w:lang w:eastAsia="ro-RO"/>
        </w:rPr>
        <w:t>54.102,5</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xml:space="preserve">, la care se adauga TVA in valoare de </w:t>
      </w:r>
      <w:r>
        <w:rPr>
          <w:rFonts w:ascii="Times New Roman" w:hAnsi="Times New Roman" w:cs="Times New Roman"/>
          <w:b/>
          <w:bCs/>
          <w:sz w:val="24"/>
          <w:szCs w:val="24"/>
          <w:lang w:eastAsia="ro-RO"/>
        </w:rPr>
        <w:t>10.279,</w:t>
      </w:r>
      <w:r w:rsidR="007D39AF">
        <w:rPr>
          <w:rFonts w:ascii="Times New Roman" w:hAnsi="Times New Roman" w:cs="Times New Roman"/>
          <w:b/>
          <w:bCs/>
          <w:sz w:val="24"/>
          <w:szCs w:val="24"/>
          <w:lang w:eastAsia="ro-RO"/>
        </w:rPr>
        <w:t>47</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defalcata astfel:</w:t>
      </w:r>
    </w:p>
    <w:p w14:paraId="34B4D3A6" w14:textId="77777777" w:rsidR="00927FF0" w:rsidRPr="00AC3AB6" w:rsidRDefault="00927FF0" w:rsidP="00927FF0">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18286857" w14:textId="25EFC28C"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en-GB"/>
        </w:rPr>
        <w:t xml:space="preserve">- documentatiile pentru obtinerea certificatului de urbanism în sumă de </w:t>
      </w:r>
      <w:r w:rsidRPr="007415F5">
        <w:rPr>
          <w:rFonts w:ascii="Times New Roman" w:hAnsi="Times New Roman" w:cs="Times New Roman"/>
          <w:b/>
          <w:bCs/>
          <w:sz w:val="24"/>
          <w:szCs w:val="24"/>
          <w:lang w:eastAsia="en-GB"/>
        </w:rPr>
        <w:t>71,43</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la care se adaugă TVA în valoare de</w:t>
      </w:r>
      <w:r>
        <w:rPr>
          <w:rFonts w:ascii="Times New Roman" w:hAnsi="Times New Roman" w:cs="Times New Roman"/>
          <w:sz w:val="24"/>
          <w:szCs w:val="24"/>
          <w:lang w:eastAsia="en-GB"/>
        </w:rPr>
        <w:t xml:space="preserve"> </w:t>
      </w:r>
      <w:r w:rsidRPr="007415F5">
        <w:rPr>
          <w:rFonts w:ascii="Times New Roman" w:hAnsi="Times New Roman" w:cs="Times New Roman"/>
          <w:b/>
          <w:bCs/>
          <w:sz w:val="24"/>
          <w:szCs w:val="24"/>
          <w:lang w:eastAsia="en-GB"/>
        </w:rPr>
        <w:t>13,</w:t>
      </w:r>
      <w:r w:rsidR="007D39AF">
        <w:rPr>
          <w:rFonts w:ascii="Times New Roman" w:hAnsi="Times New Roman" w:cs="Times New Roman"/>
          <w:b/>
          <w:bCs/>
          <w:sz w:val="24"/>
          <w:szCs w:val="24"/>
          <w:lang w:eastAsia="en-GB"/>
        </w:rPr>
        <w:t>57</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61378DB2" w14:textId="77777777"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 xml:space="preserve"> - studii si documentatii pentru obtinerea avizelor prevazute in certificatul de urbanism,</w:t>
      </w:r>
      <w:r w:rsidRPr="00AC3AB6">
        <w:rPr>
          <w:rFonts w:ascii="Times New Roman" w:hAnsi="Times New Roman" w:cs="Times New Roman"/>
          <w:sz w:val="24"/>
          <w:szCs w:val="24"/>
        </w:rPr>
        <w:t xml:space="preserve"> </w:t>
      </w:r>
      <w:r w:rsidRPr="00AC3AB6">
        <w:rPr>
          <w:rFonts w:ascii="Times New Roman" w:hAnsi="Times New Roman" w:cs="Times New Roman"/>
          <w:sz w:val="24"/>
          <w:szCs w:val="24"/>
          <w:lang w:eastAsia="en-GB"/>
        </w:rPr>
        <w:t>în sumă de</w:t>
      </w:r>
      <w:r>
        <w:rPr>
          <w:rFonts w:ascii="Times New Roman" w:hAnsi="Times New Roman" w:cs="Times New Roman"/>
          <w:sz w:val="24"/>
          <w:szCs w:val="24"/>
          <w:lang w:eastAsia="en-GB"/>
        </w:rPr>
        <w:t xml:space="preserve"> </w:t>
      </w:r>
      <w:r w:rsidRPr="007415F5">
        <w:rPr>
          <w:rFonts w:ascii="Times New Roman" w:hAnsi="Times New Roman" w:cs="Times New Roman"/>
          <w:b/>
          <w:bCs/>
          <w:sz w:val="24"/>
          <w:szCs w:val="24"/>
          <w:lang w:eastAsia="en-GB"/>
        </w:rPr>
        <w:t>8.471,07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w:t>
      </w:r>
      <w:r w:rsidRPr="004973EE">
        <w:rPr>
          <w:rFonts w:ascii="Times New Roman" w:hAnsi="Times New Roman" w:cs="Times New Roman"/>
          <w:b/>
          <w:bCs/>
          <w:sz w:val="24"/>
          <w:szCs w:val="24"/>
          <w:lang w:eastAsia="en-GB"/>
        </w:rPr>
        <w:t xml:space="preserve">de </w:t>
      </w:r>
      <w:r>
        <w:rPr>
          <w:rFonts w:ascii="Times New Roman" w:hAnsi="Times New Roman" w:cs="Times New Roman"/>
          <w:b/>
          <w:bCs/>
          <w:sz w:val="24"/>
          <w:szCs w:val="24"/>
          <w:lang w:eastAsia="en-GB"/>
        </w:rPr>
        <w:t>1.609,5</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2B43D96E" w14:textId="77777777" w:rsidR="00927FF0" w:rsidRPr="00AC3AB6" w:rsidRDefault="00927FF0" w:rsidP="00927FF0">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64F91CC9" w14:textId="2FDC3FA1"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 în sumă de </w:t>
      </w:r>
      <w:r>
        <w:rPr>
          <w:rFonts w:ascii="Times New Roman" w:hAnsi="Times New Roman" w:cs="Times New Roman"/>
          <w:b/>
          <w:bCs/>
          <w:sz w:val="24"/>
          <w:szCs w:val="24"/>
          <w:lang w:eastAsia="en-GB"/>
        </w:rPr>
        <w:t>29.129,93</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Pr>
          <w:rFonts w:ascii="Times New Roman" w:hAnsi="Times New Roman" w:cs="Times New Roman"/>
          <w:b/>
          <w:bCs/>
          <w:sz w:val="24"/>
          <w:szCs w:val="24"/>
          <w:lang w:eastAsia="en-GB"/>
        </w:rPr>
        <w:t>5.534,</w:t>
      </w:r>
      <w:r w:rsidR="007D39AF">
        <w:rPr>
          <w:rFonts w:ascii="Times New Roman" w:hAnsi="Times New Roman" w:cs="Times New Roman"/>
          <w:b/>
          <w:bCs/>
          <w:sz w:val="24"/>
          <w:szCs w:val="24"/>
          <w:lang w:eastAsia="en-GB"/>
        </w:rPr>
        <w:t>68</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43D24454"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74942746" w14:textId="4A89092B"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Pr="00AC3AB6">
        <w:rPr>
          <w:rFonts w:ascii="Times New Roman" w:hAnsi="Times New Roman" w:cs="Times New Roman"/>
          <w:i/>
          <w:iCs/>
          <w:sz w:val="24"/>
          <w:szCs w:val="24"/>
          <w:lang w:eastAsia="en-GB"/>
        </w:rPr>
        <w:t>DTAC</w:t>
      </w:r>
      <w:r w:rsidRPr="00AC3AB6">
        <w:rPr>
          <w:rFonts w:ascii="Times New Roman" w:hAnsi="Times New Roman" w:cs="Times New Roman"/>
          <w:sz w:val="24"/>
          <w:szCs w:val="24"/>
          <w:lang w:eastAsia="en-GB"/>
        </w:rPr>
        <w:t xml:space="preserve"> în sumă de </w:t>
      </w:r>
      <w:r w:rsidRPr="007415F5">
        <w:rPr>
          <w:rFonts w:ascii="Times New Roman" w:hAnsi="Times New Roman" w:cs="Times New Roman"/>
          <w:b/>
          <w:bCs/>
          <w:sz w:val="24"/>
          <w:szCs w:val="24"/>
          <w:lang w:eastAsia="en-GB"/>
        </w:rPr>
        <w:t>2.192,58</w:t>
      </w:r>
      <w:r>
        <w:rPr>
          <w:rFonts w:ascii="Times New Roman" w:hAnsi="Times New Roman" w:cs="Times New Roman"/>
          <w:sz w:val="24"/>
          <w:szCs w:val="24"/>
          <w:lang w:eastAsia="en-GB"/>
        </w:rPr>
        <w:t xml:space="preserve"> </w:t>
      </w:r>
      <w:r w:rsidRPr="004973EE">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Pr>
          <w:rFonts w:ascii="Times New Roman" w:hAnsi="Times New Roman" w:cs="Times New Roman"/>
          <w:b/>
          <w:bCs/>
          <w:sz w:val="24"/>
          <w:szCs w:val="24"/>
          <w:lang w:eastAsia="en-GB"/>
        </w:rPr>
        <w:t>416,</w:t>
      </w:r>
      <w:r w:rsidR="007D39AF">
        <w:rPr>
          <w:rFonts w:ascii="Times New Roman" w:hAnsi="Times New Roman" w:cs="Times New Roman"/>
          <w:b/>
          <w:bCs/>
          <w:sz w:val="24"/>
          <w:szCs w:val="24"/>
          <w:lang w:eastAsia="en-GB"/>
        </w:rPr>
        <w:t>59</w:t>
      </w:r>
      <w:r w:rsidRPr="005E7FB8">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2B3A3AF"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709B6922" w14:textId="77777777"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PT+DE+CS, POE în sumă de </w:t>
      </w:r>
      <w:r>
        <w:rPr>
          <w:rFonts w:ascii="Times New Roman" w:hAnsi="Times New Roman" w:cs="Times New Roman"/>
          <w:b/>
          <w:bCs/>
          <w:sz w:val="24"/>
          <w:szCs w:val="24"/>
          <w:lang w:eastAsia="en-GB"/>
        </w:rPr>
        <w:t>14.237,5</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Pr>
          <w:rFonts w:ascii="Times New Roman" w:hAnsi="Times New Roman" w:cs="Times New Roman"/>
          <w:b/>
          <w:bCs/>
          <w:sz w:val="24"/>
          <w:szCs w:val="24"/>
          <w:lang w:eastAsia="en-GB"/>
        </w:rPr>
        <w:t>2.705,12</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F8810EC" w14:textId="283D5A4C"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7415F5" w:rsidRPr="007415F5">
        <w:rPr>
          <w:rFonts w:ascii="Times New Roman" w:hAnsi="Times New Roman" w:cs="Times New Roman"/>
          <w:b/>
          <w:bCs/>
          <w:sz w:val="24"/>
          <w:szCs w:val="24"/>
          <w:lang w:eastAsia="en-GB"/>
        </w:rPr>
        <w:t>2.847,5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7415F5" w:rsidRPr="007415F5">
        <w:rPr>
          <w:rFonts w:ascii="Times New Roman" w:hAnsi="Times New Roman" w:cs="Times New Roman"/>
          <w:b/>
          <w:bCs/>
          <w:sz w:val="24"/>
          <w:szCs w:val="24"/>
          <w:lang w:eastAsia="en-GB"/>
        </w:rPr>
        <w:t>541,02</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lastRenderedPageBreak/>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72221FF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w:t>
      </w:r>
      <w:r w:rsidR="00A96F20">
        <w:rPr>
          <w:rFonts w:ascii="Times New Roman" w:eastAsia="Times New Roman" w:hAnsi="Times New Roman" w:cs="Times New Roman"/>
          <w:b/>
          <w:sz w:val="24"/>
          <w:szCs w:val="24"/>
          <w:lang w:eastAsia="ro-RO"/>
        </w:rPr>
        <w:t>ISCONPRO</w:t>
      </w:r>
      <w:r w:rsidRPr="00840910">
        <w:rPr>
          <w:rFonts w:ascii="Times New Roman" w:eastAsia="Times New Roman" w:hAnsi="Times New Roman" w:cs="Times New Roman"/>
          <w:b/>
          <w:sz w:val="24"/>
          <w:szCs w:val="24"/>
          <w:lang w:eastAsia="ro-RO"/>
        </w:rPr>
        <w:t xml:space="preserve">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3A51A1C9"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bCs/>
          <w:sz w:val="24"/>
          <w:szCs w:val="24"/>
          <w:lang w:eastAsia="en-GB"/>
        </w:rPr>
        <w:t>Iulian PRICOP</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50389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08B51773"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9E4D6E8"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82960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33D0C02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CC989F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C38F6C5"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FEFDE9E"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751563F"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432B60B0"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C61A964"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D4A4A9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612A155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lastRenderedPageBreak/>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4632D67" w14:textId="77777777" w:rsidR="007415F5" w:rsidRPr="00AC3AB6" w:rsidRDefault="007415F5"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lastRenderedPageBreak/>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w:t>
      </w:r>
      <w:r w:rsidRPr="00AC3AB6">
        <w:rPr>
          <w:rFonts w:ascii="Times New Roman" w:eastAsia="Times New Roman" w:hAnsi="Times New Roman" w:cs="Times New Roman"/>
          <w:sz w:val="24"/>
          <w:szCs w:val="24"/>
          <w:lang w:val="ro-RO" w:eastAsia="en-GB"/>
        </w:rPr>
        <w:lastRenderedPageBreak/>
        <w:t>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Potrivit Legii nr. 10/1995 privind calitatea în construţii, republicată, cu modificările şi completările ulterioare, asumându-şi toate responsabilităţile ce decurg din conţinutul 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lastRenderedPageBreak/>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 Operatorul Economic care preia drepturile și obligațiile Contractantului ca urmare a unei succesiuni universale sau cu titlu universal în cadrul unui proces 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Inainte de semnarea contractului de execuţie a lucrării, asocierea va prezenta acordul de asociere într-una din formele: în original/formă legalizată/ semnat și 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228C5E16" w14:textId="77777777" w:rsidR="007415F5" w:rsidRPr="00AC3AB6" w:rsidRDefault="007415F5"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4AD75DB9"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sidR="007415F5">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2965FC1D"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ORASUL PETRILA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SC </w:t>
      </w:r>
      <w:r w:rsidR="007415F5">
        <w:rPr>
          <w:rFonts w:ascii="Times New Roman" w:eastAsia="Times New Roman" w:hAnsi="Times New Roman" w:cs="Times New Roman"/>
          <w:b/>
          <w:sz w:val="24"/>
          <w:szCs w:val="24"/>
          <w:lang w:eastAsia="en-GB"/>
        </w:rPr>
        <w:t>ISCONPRO</w:t>
      </w:r>
      <w:r w:rsidRPr="009B14C9">
        <w:rPr>
          <w:rFonts w:ascii="Times New Roman" w:eastAsia="Times New Roman" w:hAnsi="Times New Roman" w:cs="Times New Roman"/>
          <w:b/>
          <w:sz w:val="24"/>
          <w:szCs w:val="24"/>
          <w:lang w:eastAsia="en-GB"/>
        </w:rPr>
        <w:t xml:space="preserve">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42F64D5A"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Iulian PRICOP</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7415F5">
      <w:headerReference w:type="default" r:id="rId9"/>
      <w:footerReference w:type="default" r:id="rId10"/>
      <w:pgSz w:w="11906" w:h="16838"/>
      <w:pgMar w:top="284" w:right="849" w:bottom="142" w:left="1134"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053E" w14:textId="77777777" w:rsidR="00C40699" w:rsidRDefault="00C40699">
      <w:pPr>
        <w:spacing w:after="0" w:line="240" w:lineRule="auto"/>
      </w:pPr>
      <w:r>
        <w:separator/>
      </w:r>
    </w:p>
  </w:endnote>
  <w:endnote w:type="continuationSeparator" w:id="0">
    <w:p w14:paraId="29F4BE35" w14:textId="77777777" w:rsidR="00C40699" w:rsidRDefault="00C4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7415F5">
      <w:trPr>
        <w:jc w:val="center"/>
      </w:trPr>
      <w:tc>
        <w:tcPr>
          <w:tcW w:w="1232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844"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A02E" w14:textId="77777777" w:rsidR="00C40699" w:rsidRDefault="00C40699">
      <w:pPr>
        <w:spacing w:after="0" w:line="240" w:lineRule="auto"/>
      </w:pPr>
      <w:r>
        <w:rPr>
          <w:color w:val="000000"/>
        </w:rPr>
        <w:separator/>
      </w:r>
    </w:p>
  </w:footnote>
  <w:footnote w:type="continuationSeparator" w:id="0">
    <w:p w14:paraId="41FDE7A3" w14:textId="77777777" w:rsidR="00C40699" w:rsidRDefault="00C40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4072D"/>
    <w:rsid w:val="000509A4"/>
    <w:rsid w:val="00077167"/>
    <w:rsid w:val="000D10D2"/>
    <w:rsid w:val="000E55DF"/>
    <w:rsid w:val="00100FB5"/>
    <w:rsid w:val="00146322"/>
    <w:rsid w:val="00152D11"/>
    <w:rsid w:val="00167A27"/>
    <w:rsid w:val="001716D5"/>
    <w:rsid w:val="001B1A3A"/>
    <w:rsid w:val="001B75EA"/>
    <w:rsid w:val="001C2202"/>
    <w:rsid w:val="001F2FB7"/>
    <w:rsid w:val="002223A8"/>
    <w:rsid w:val="002273CC"/>
    <w:rsid w:val="0026730A"/>
    <w:rsid w:val="00267D6A"/>
    <w:rsid w:val="002732CB"/>
    <w:rsid w:val="00282410"/>
    <w:rsid w:val="00297052"/>
    <w:rsid w:val="002A58AE"/>
    <w:rsid w:val="002A66C9"/>
    <w:rsid w:val="002C3C02"/>
    <w:rsid w:val="002C714B"/>
    <w:rsid w:val="00332212"/>
    <w:rsid w:val="00333BB7"/>
    <w:rsid w:val="003366D0"/>
    <w:rsid w:val="003378B5"/>
    <w:rsid w:val="00364F87"/>
    <w:rsid w:val="003704D6"/>
    <w:rsid w:val="00383599"/>
    <w:rsid w:val="00383A49"/>
    <w:rsid w:val="003A2C28"/>
    <w:rsid w:val="003C4B7C"/>
    <w:rsid w:val="003F1A17"/>
    <w:rsid w:val="004174F9"/>
    <w:rsid w:val="00441689"/>
    <w:rsid w:val="00442FDF"/>
    <w:rsid w:val="004449F3"/>
    <w:rsid w:val="004761E9"/>
    <w:rsid w:val="00477A41"/>
    <w:rsid w:val="0048356E"/>
    <w:rsid w:val="0048751B"/>
    <w:rsid w:val="004973EE"/>
    <w:rsid w:val="004A3E15"/>
    <w:rsid w:val="004A5A58"/>
    <w:rsid w:val="004A5C00"/>
    <w:rsid w:val="004C714D"/>
    <w:rsid w:val="00500621"/>
    <w:rsid w:val="00502C7B"/>
    <w:rsid w:val="005219B3"/>
    <w:rsid w:val="005330B8"/>
    <w:rsid w:val="00541CA5"/>
    <w:rsid w:val="005472C9"/>
    <w:rsid w:val="005662B7"/>
    <w:rsid w:val="005A60B3"/>
    <w:rsid w:val="005B7931"/>
    <w:rsid w:val="005D31AA"/>
    <w:rsid w:val="005E33AA"/>
    <w:rsid w:val="005E7FB8"/>
    <w:rsid w:val="005F6EEB"/>
    <w:rsid w:val="00610C3B"/>
    <w:rsid w:val="006446F0"/>
    <w:rsid w:val="006704CA"/>
    <w:rsid w:val="00681A35"/>
    <w:rsid w:val="00686D9C"/>
    <w:rsid w:val="00690ABA"/>
    <w:rsid w:val="006A2346"/>
    <w:rsid w:val="006A2BCD"/>
    <w:rsid w:val="006B0AE0"/>
    <w:rsid w:val="006B1F72"/>
    <w:rsid w:val="006C2DAB"/>
    <w:rsid w:val="006C7774"/>
    <w:rsid w:val="006E6347"/>
    <w:rsid w:val="00723F6F"/>
    <w:rsid w:val="00735226"/>
    <w:rsid w:val="0073670B"/>
    <w:rsid w:val="007415F5"/>
    <w:rsid w:val="00755296"/>
    <w:rsid w:val="00760D65"/>
    <w:rsid w:val="00761D33"/>
    <w:rsid w:val="007856A0"/>
    <w:rsid w:val="007C62A4"/>
    <w:rsid w:val="007C7C87"/>
    <w:rsid w:val="007D39AF"/>
    <w:rsid w:val="007E4FC1"/>
    <w:rsid w:val="00813468"/>
    <w:rsid w:val="00813B4F"/>
    <w:rsid w:val="00817F84"/>
    <w:rsid w:val="0083257F"/>
    <w:rsid w:val="00837C6B"/>
    <w:rsid w:val="00840910"/>
    <w:rsid w:val="0086244A"/>
    <w:rsid w:val="0086276D"/>
    <w:rsid w:val="00867DAD"/>
    <w:rsid w:val="00885442"/>
    <w:rsid w:val="008A3A3F"/>
    <w:rsid w:val="008A7112"/>
    <w:rsid w:val="008D04B4"/>
    <w:rsid w:val="008D095E"/>
    <w:rsid w:val="008D15B0"/>
    <w:rsid w:val="008D17A0"/>
    <w:rsid w:val="008F1F86"/>
    <w:rsid w:val="008F2FB9"/>
    <w:rsid w:val="008F6785"/>
    <w:rsid w:val="009129B4"/>
    <w:rsid w:val="00927FF0"/>
    <w:rsid w:val="00943EFD"/>
    <w:rsid w:val="00945554"/>
    <w:rsid w:val="00947ABD"/>
    <w:rsid w:val="009910CA"/>
    <w:rsid w:val="009B14C9"/>
    <w:rsid w:val="009B4DCA"/>
    <w:rsid w:val="009C76AC"/>
    <w:rsid w:val="009D5EC7"/>
    <w:rsid w:val="009D74E7"/>
    <w:rsid w:val="00A0040A"/>
    <w:rsid w:val="00A042BF"/>
    <w:rsid w:val="00A10C4D"/>
    <w:rsid w:val="00A12435"/>
    <w:rsid w:val="00A20B59"/>
    <w:rsid w:val="00A2102E"/>
    <w:rsid w:val="00A329D7"/>
    <w:rsid w:val="00A47579"/>
    <w:rsid w:val="00A5355D"/>
    <w:rsid w:val="00A64DD7"/>
    <w:rsid w:val="00A845C8"/>
    <w:rsid w:val="00A96F20"/>
    <w:rsid w:val="00AA076B"/>
    <w:rsid w:val="00AC3AB6"/>
    <w:rsid w:val="00B310D5"/>
    <w:rsid w:val="00B5206B"/>
    <w:rsid w:val="00B85448"/>
    <w:rsid w:val="00BA04B0"/>
    <w:rsid w:val="00BC44E6"/>
    <w:rsid w:val="00BD2CE1"/>
    <w:rsid w:val="00BD315E"/>
    <w:rsid w:val="00BD584C"/>
    <w:rsid w:val="00BE4243"/>
    <w:rsid w:val="00BE48E0"/>
    <w:rsid w:val="00BE7323"/>
    <w:rsid w:val="00C13E43"/>
    <w:rsid w:val="00C277D3"/>
    <w:rsid w:val="00C27B87"/>
    <w:rsid w:val="00C40699"/>
    <w:rsid w:val="00C53D99"/>
    <w:rsid w:val="00C67E1D"/>
    <w:rsid w:val="00C71EEC"/>
    <w:rsid w:val="00C768E1"/>
    <w:rsid w:val="00C85B7E"/>
    <w:rsid w:val="00CA4D36"/>
    <w:rsid w:val="00CE3AE2"/>
    <w:rsid w:val="00CF277F"/>
    <w:rsid w:val="00CF387A"/>
    <w:rsid w:val="00D34DE4"/>
    <w:rsid w:val="00D417CB"/>
    <w:rsid w:val="00D53EB2"/>
    <w:rsid w:val="00D6065F"/>
    <w:rsid w:val="00D62E11"/>
    <w:rsid w:val="00D73323"/>
    <w:rsid w:val="00D7479E"/>
    <w:rsid w:val="00D94C48"/>
    <w:rsid w:val="00DF7BB3"/>
    <w:rsid w:val="00E31313"/>
    <w:rsid w:val="00E51FE3"/>
    <w:rsid w:val="00E53757"/>
    <w:rsid w:val="00E653AF"/>
    <w:rsid w:val="00E74053"/>
    <w:rsid w:val="00E76875"/>
    <w:rsid w:val="00E82500"/>
    <w:rsid w:val="00E902A9"/>
    <w:rsid w:val="00EC05F5"/>
    <w:rsid w:val="00ED1037"/>
    <w:rsid w:val="00ED61E7"/>
    <w:rsid w:val="00EF277D"/>
    <w:rsid w:val="00F60DF9"/>
    <w:rsid w:val="00F65AD1"/>
    <w:rsid w:val="00F8798C"/>
    <w:rsid w:val="00F94E04"/>
    <w:rsid w:val="00F97714"/>
    <w:rsid w:val="00FA20C3"/>
    <w:rsid w:val="00FD1725"/>
    <w:rsid w:val="00FE621C"/>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10117</Words>
  <Characters>58683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29</cp:revision>
  <cp:lastPrinted>2023-07-07T05:31:00Z</cp:lastPrinted>
  <dcterms:created xsi:type="dcterms:W3CDTF">2022-12-06T11:26:00Z</dcterms:created>
  <dcterms:modified xsi:type="dcterms:W3CDTF">2023-07-28T06:58:00Z</dcterms:modified>
</cp:coreProperties>
</file>